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0A688">
      <w:pPr>
        <w:autoSpaceDE w:val="0"/>
        <w:autoSpaceDN w:val="0"/>
        <w:spacing w:before="69" w:line="360" w:lineRule="auto"/>
        <w:ind w:left="855" w:right="975"/>
        <w:jc w:val="center"/>
        <w:outlineLvl w:val="0"/>
        <w:rPr>
          <w:rFonts w:ascii="Times New Roman" w:hAnsi="Times New Roman" w:eastAsia="黑体" w:cs="Times New Roman"/>
          <w:b/>
          <w:bCs/>
          <w:color w:val="0D0D0D" w:themeColor="text1" w:themeTint="F2"/>
          <w:kern w:val="0"/>
          <w:sz w:val="26"/>
          <w:szCs w:val="26"/>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36"/>
          <w:sz w:val="32"/>
          <w:szCs w:val="32"/>
          <w14:textFill>
            <w14:solidFill>
              <w14:schemeClr w14:val="tx1">
                <w14:lumMod w14:val="95000"/>
                <w14:lumOff w14:val="5000"/>
              </w14:schemeClr>
            </w14:solidFill>
          </w14:textFill>
        </w:rPr>
        <w:t>北京理工大学</w:t>
      </w:r>
      <w:r>
        <w:rPr>
          <w:rFonts w:hint="eastAsia" w:ascii="Times New Roman" w:hAnsi="Times New Roman" w:eastAsia="黑体" w:cs="Times New Roman"/>
          <w:b/>
          <w:bCs/>
          <w:color w:val="0D0D0D" w:themeColor="text1" w:themeTint="F2"/>
          <w:kern w:val="36"/>
          <w:sz w:val="32"/>
          <w:szCs w:val="32"/>
          <w14:textFill>
            <w14:solidFill>
              <w14:schemeClr w14:val="tx1">
                <w14:lumMod w14:val="95000"/>
                <w14:lumOff w14:val="5000"/>
              </w14:schemeClr>
            </w14:solidFill>
          </w14:textFill>
        </w:rPr>
        <w:t>管理学院</w:t>
      </w:r>
      <w:r>
        <w:rPr>
          <w:rFonts w:ascii="Times New Roman" w:hAnsi="Times New Roman" w:eastAsia="黑体" w:cs="Times New Roman"/>
          <w:b/>
          <w:bCs/>
          <w:color w:val="0D0D0D" w:themeColor="text1" w:themeTint="F2"/>
          <w:kern w:val="0"/>
          <w:sz w:val="26"/>
          <w:szCs w:val="26"/>
          <w14:textFill>
            <w14:solidFill>
              <w14:schemeClr w14:val="tx1">
                <w14:lumMod w14:val="95000"/>
                <w14:lumOff w14:val="5000"/>
              </w14:schemeClr>
            </w14:solidFill>
          </w14:textFill>
        </w:rPr>
        <w:t xml:space="preserve"> </w:t>
      </w:r>
    </w:p>
    <w:p w14:paraId="4A415E63">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 xml:space="preserve">2026年优秀大学生夏令营（国民经济动员学科） </w:t>
      </w:r>
    </w:p>
    <w:p w14:paraId="48CED188">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黑体" w:cs="Times New Roman"/>
          <w:b/>
          <w:bCs/>
          <w:color w:val="0D0D0D" w:themeColor="text1" w:themeTint="F2"/>
          <w:kern w:val="0"/>
          <w:sz w:val="28"/>
          <w:szCs w:val="28"/>
          <w:lang w:val="en-US" w:eastAsia="zh-CN"/>
          <w14:textFill>
            <w14:solidFill>
              <w14:schemeClr w14:val="tx1">
                <w14:lumMod w14:val="95000"/>
                <w14:lumOff w14:val="5000"/>
              </w14:schemeClr>
            </w14:solidFill>
          </w14:textFill>
        </w:rPr>
        <w:t>拟入营</w:t>
      </w: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通知</w:t>
      </w:r>
      <w:bookmarkStart w:id="0" w:name="_GoBack"/>
      <w:bookmarkEnd w:id="0"/>
    </w:p>
    <w:p w14:paraId="414938E1">
      <w:pPr>
        <w:autoSpaceDE w:val="0"/>
        <w:autoSpaceDN w:val="0"/>
        <w:spacing w:before="156" w:beforeLines="50" w:line="360" w:lineRule="auto"/>
        <w:ind w:left="120" w:right="228" w:firstLine="479"/>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北京理工大学</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管理学院202</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6年优秀大学生夏令营（国民经济动员学科）将于</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202</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6年7月14日至7月16日在北京理工大学举行。</w:t>
      </w:r>
    </w:p>
    <w:p w14:paraId="3117EDD9">
      <w:pPr>
        <w:autoSpaceDE w:val="0"/>
        <w:autoSpaceDN w:val="0"/>
        <w:spacing w:before="156" w:beforeLines="50" w:line="360" w:lineRule="auto"/>
        <w:ind w:left="120" w:right="228" w:firstLine="496" w:firstLineChars="200"/>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本次夏令营旨在增进全国高校优秀本科生对国民经济动员研究领域的了</w:t>
      </w:r>
      <w:r>
        <w:rPr>
          <w:rFonts w:ascii="Times New Roman" w:hAnsi="Times New Roman" w:eastAsia="宋体" w:cs="Times New Roman"/>
          <w:color w:val="0D0D0D" w:themeColor="text1" w:themeTint="F2"/>
          <w:spacing w:val="-9"/>
          <w:kern w:val="0"/>
          <w:sz w:val="24"/>
          <w:szCs w:val="24"/>
          <w14:textFill>
            <w14:solidFill>
              <w14:schemeClr w14:val="tx1">
                <w14:lumMod w14:val="95000"/>
                <w14:lumOff w14:val="5000"/>
              </w14:schemeClr>
            </w14:solidFill>
          </w14:textFill>
        </w:rPr>
        <w:t>解，提升优秀学子对北京理工大学国民经济动员学科的认识。本次夏令营将提供一个学习</w:t>
      </w:r>
      <w:r>
        <w:rPr>
          <w:rFonts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和交流的平台，促进来自全国高校优秀大学生对北京理工大学</w:t>
      </w:r>
      <w:r>
        <w:rPr>
          <w:rFonts w:hint="eastAsia"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管理学院</w:t>
      </w:r>
      <w:r>
        <w:rPr>
          <w:rFonts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的发展历史、优势特色的了解，提高大学生服务应急应战等国家重大需求的热情，吸引和鼓励各校的优秀大学生保送或报考北京理工大学研究生。</w:t>
      </w:r>
    </w:p>
    <w:p w14:paraId="7E0C7D10">
      <w:pPr>
        <w:autoSpaceDE w:val="0"/>
        <w:autoSpaceDN w:val="0"/>
        <w:spacing w:before="156" w:beforeLines="50" w:after="156" w:afterLines="50" w:line="360" w:lineRule="auto"/>
        <w:ind w:left="119" w:right="238" w:firstLine="476"/>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6"/>
          <w:kern w:val="0"/>
          <w:sz w:val="24"/>
          <w:szCs w:val="24"/>
          <w14:textFill>
            <w14:solidFill>
              <w14:schemeClr w14:val="tx1">
                <w14:lumMod w14:val="95000"/>
                <w14:lumOff w14:val="5000"/>
              </w14:schemeClr>
            </w14:solidFill>
          </w14:textFill>
        </w:rPr>
        <w:t>本次夏令营共收到</w:t>
      </w:r>
      <w:r>
        <w:rPr>
          <w:rFonts w:hint="eastAsia" w:ascii="Times New Roman" w:hAnsi="Times New Roman" w:eastAsia="宋体" w:cs="Times New Roman"/>
          <w:color w:val="0D0D0D" w:themeColor="text1" w:themeTint="F2"/>
          <w:spacing w:val="-6"/>
          <w:kern w:val="0"/>
          <w:sz w:val="24"/>
          <w:szCs w:val="24"/>
          <w14:textFill>
            <w14:solidFill>
              <w14:schemeClr w14:val="tx1">
                <w14:lumMod w14:val="95000"/>
                <w14:lumOff w14:val="5000"/>
              </w14:schemeClr>
            </w14:solidFill>
          </w14:textFill>
        </w:rPr>
        <w:t>四</w:t>
      </w:r>
      <w:r>
        <w:rPr>
          <w:rFonts w:ascii="Times New Roman" w:hAnsi="Times New Roman" w:eastAsia="宋体" w:cs="Times New Roman"/>
          <w:color w:val="0D0D0D" w:themeColor="text1" w:themeTint="F2"/>
          <w:spacing w:val="-6"/>
          <w:kern w:val="0"/>
          <w:sz w:val="24"/>
          <w:szCs w:val="24"/>
          <w14:textFill>
            <w14:solidFill>
              <w14:schemeClr w14:val="tx1">
                <w14:lumMod w14:val="95000"/>
                <w14:lumOff w14:val="5000"/>
              </w14:schemeClr>
            </w14:solidFill>
          </w14:textFill>
        </w:rPr>
        <w:t>十余份参营申请。综合考虑报名学生的学习成绩、科研</w:t>
      </w:r>
      <w:r>
        <w:rPr>
          <w:rFonts w:ascii="Times New Roman" w:hAnsi="Times New Roman" w:eastAsia="宋体" w:cs="Times New Roman"/>
          <w:color w:val="0D0D0D" w:themeColor="text1" w:themeTint="F2"/>
          <w:spacing w:val="-12"/>
          <w:kern w:val="0"/>
          <w:sz w:val="24"/>
          <w:szCs w:val="24"/>
          <w14:textFill>
            <w14:solidFill>
              <w14:schemeClr w14:val="tx1">
                <w14:lumMod w14:val="95000"/>
                <w14:lumOff w14:val="5000"/>
              </w14:schemeClr>
            </w14:solidFill>
          </w14:textFill>
        </w:rPr>
        <w:t>情况、获奖情况、英语水平等方面因素，经过评定</w:t>
      </w:r>
      <w:r>
        <w:rPr>
          <w:rFonts w:hint="eastAsia" w:ascii="Times New Roman" w:hAnsi="Times New Roman" w:eastAsia="宋体" w:cs="Times New Roman"/>
          <w:color w:val="0D0D0D" w:themeColor="text1" w:themeTint="F2"/>
          <w:spacing w:val="-12"/>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12"/>
          <w:kern w:val="0"/>
          <w:sz w:val="24"/>
          <w:szCs w:val="24"/>
          <w14:textFill>
            <w14:solidFill>
              <w14:schemeClr w14:val="tx1">
                <w14:lumMod w14:val="95000"/>
                <w14:lumOff w14:val="5000"/>
              </w14:schemeClr>
            </w14:solidFill>
          </w14:textFill>
        </w:rPr>
        <w:t>拟录取</w:t>
      </w:r>
      <w:r>
        <w:rPr>
          <w:rFonts w:hint="eastAsia" w:ascii="Times New Roman" w:hAnsi="Times New Roman" w:eastAsia="宋体" w:cs="Times New Roman"/>
          <w:color w:val="0D0D0D" w:themeColor="text1" w:themeTint="F2"/>
          <w:spacing w:val="-12"/>
          <w:kern w:val="0"/>
          <w:sz w:val="24"/>
          <w:szCs w:val="24"/>
          <w:lang w:val="en-US" w:eastAsia="zh-CN"/>
          <w14:textFill>
            <w14:solidFill>
              <w14:schemeClr w14:val="tx1">
                <w14:lumMod w14:val="95000"/>
                <w14:lumOff w14:val="5000"/>
              </w14:schemeClr>
            </w14:solidFill>
          </w14:textFill>
        </w:rPr>
        <w:t>6</w:t>
      </w:r>
      <w:r>
        <w:rPr>
          <w:rFonts w:ascii="Times New Roman" w:hAnsi="Times New Roman" w:eastAsia="宋体" w:cs="Times New Roman"/>
          <w:color w:val="0D0D0D" w:themeColor="text1" w:themeTint="F2"/>
          <w:spacing w:val="-2"/>
          <w:kern w:val="0"/>
          <w:sz w:val="24"/>
          <w:szCs w:val="24"/>
          <w14:textFill>
            <w14:solidFill>
              <w14:schemeClr w14:val="tx1">
                <w14:lumMod w14:val="95000"/>
                <w14:lumOff w14:val="5000"/>
              </w14:schemeClr>
            </w14:solidFill>
          </w14:textFill>
        </w:rPr>
        <w:t>位同学参加本次夏</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 xml:space="preserve">令营。具体名单如下： </w:t>
      </w:r>
    </w:p>
    <w:tbl>
      <w:tblPr>
        <w:tblStyle w:val="7"/>
        <w:tblW w:w="6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5"/>
        <w:gridCol w:w="4961"/>
      </w:tblGrid>
      <w:tr w14:paraId="2A2A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555" w:type="dxa"/>
            <w:tcMar>
              <w:top w:w="15" w:type="dxa"/>
              <w:left w:w="15" w:type="dxa"/>
              <w:right w:w="15" w:type="dxa"/>
            </w:tcMar>
            <w:vAlign w:val="center"/>
          </w:tcPr>
          <w:p w14:paraId="4026C9D8">
            <w:pPr>
              <w:widowControl/>
              <w:spacing w:line="360" w:lineRule="auto"/>
              <w:jc w:val="center"/>
              <w:textAlignment w:val="center"/>
              <w:rPr>
                <w:rFonts w:ascii="Times New Roman" w:hAnsi="Times New Roman" w:eastAsia="宋体"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kern w:val="0"/>
                <w:sz w:val="24"/>
                <w:szCs w:val="24"/>
                <w:lang w:bidi="ar"/>
                <w14:textFill>
                  <w14:solidFill>
                    <w14:schemeClr w14:val="tx1">
                      <w14:lumMod w14:val="95000"/>
                      <w14:lumOff w14:val="5000"/>
                    </w14:schemeClr>
                  </w14:solidFill>
                </w14:textFill>
              </w:rPr>
              <w:t>姓名</w:t>
            </w:r>
          </w:p>
        </w:tc>
        <w:tc>
          <w:tcPr>
            <w:tcW w:w="4961" w:type="dxa"/>
            <w:tcMar>
              <w:top w:w="15" w:type="dxa"/>
              <w:left w:w="15" w:type="dxa"/>
              <w:right w:w="15" w:type="dxa"/>
            </w:tcMar>
            <w:vAlign w:val="center"/>
          </w:tcPr>
          <w:p w14:paraId="2B1A4733">
            <w:pPr>
              <w:widowControl/>
              <w:spacing w:line="360" w:lineRule="auto"/>
              <w:jc w:val="center"/>
              <w:textAlignment w:val="center"/>
              <w:rPr>
                <w:rFonts w:ascii="Times New Roman" w:hAnsi="Times New Roman" w:eastAsia="宋体"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kern w:val="0"/>
                <w:sz w:val="24"/>
                <w:szCs w:val="24"/>
                <w:lang w:bidi="ar"/>
                <w14:textFill>
                  <w14:solidFill>
                    <w14:schemeClr w14:val="tx1">
                      <w14:lumMod w14:val="95000"/>
                      <w14:lumOff w14:val="5000"/>
                    </w14:schemeClr>
                  </w14:solidFill>
                </w14:textFill>
              </w:rPr>
              <w:t>所在高校</w:t>
            </w:r>
          </w:p>
        </w:tc>
      </w:tr>
      <w:tr w14:paraId="03B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555" w:type="dxa"/>
            <w:noWrap/>
            <w:tcMar>
              <w:top w:w="15" w:type="dxa"/>
              <w:left w:w="15" w:type="dxa"/>
              <w:right w:w="15" w:type="dxa"/>
            </w:tcMar>
          </w:tcPr>
          <w:p w14:paraId="31F19C78">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聂之航</w:t>
            </w:r>
          </w:p>
        </w:tc>
        <w:tc>
          <w:tcPr>
            <w:tcW w:w="4961" w:type="dxa"/>
            <w:noWrap/>
            <w:tcMar>
              <w:top w:w="15" w:type="dxa"/>
              <w:left w:w="15" w:type="dxa"/>
              <w:right w:w="15" w:type="dxa"/>
            </w:tcMar>
          </w:tcPr>
          <w:p w14:paraId="1D0C80E9">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14:textFill>
                  <w14:solidFill>
                    <w14:schemeClr w14:val="tx1">
                      <w14:lumMod w14:val="95000"/>
                      <w14:lumOff w14:val="5000"/>
                    </w14:schemeClr>
                  </w14:solidFill>
                </w14:textFill>
              </w:rPr>
              <w:t>北京交通大学</w:t>
            </w:r>
          </w:p>
        </w:tc>
      </w:tr>
      <w:tr w14:paraId="7E97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555" w:type="dxa"/>
            <w:noWrap/>
            <w:tcMar>
              <w:top w:w="15" w:type="dxa"/>
              <w:left w:w="15" w:type="dxa"/>
              <w:right w:w="15" w:type="dxa"/>
            </w:tcMar>
          </w:tcPr>
          <w:p w14:paraId="19193ACB">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邹雨轩</w:t>
            </w:r>
          </w:p>
        </w:tc>
        <w:tc>
          <w:tcPr>
            <w:tcW w:w="4961" w:type="dxa"/>
            <w:noWrap/>
            <w:tcMar>
              <w:top w:w="15" w:type="dxa"/>
              <w:left w:w="15" w:type="dxa"/>
              <w:right w:w="15" w:type="dxa"/>
            </w:tcMar>
          </w:tcPr>
          <w:p w14:paraId="77F14958">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14:textFill>
                  <w14:solidFill>
                    <w14:schemeClr w14:val="tx1">
                      <w14:lumMod w14:val="95000"/>
                      <w14:lumOff w14:val="5000"/>
                    </w14:schemeClr>
                  </w14:solidFill>
                </w14:textFill>
              </w:rPr>
              <w:t>北京体育大学</w:t>
            </w:r>
          </w:p>
        </w:tc>
      </w:tr>
      <w:tr w14:paraId="08FD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555" w:type="dxa"/>
            <w:noWrap/>
            <w:tcMar>
              <w:top w:w="15" w:type="dxa"/>
              <w:left w:w="15" w:type="dxa"/>
              <w:right w:w="15" w:type="dxa"/>
            </w:tcMar>
          </w:tcPr>
          <w:p w14:paraId="1EA3786C">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李子慕</w:t>
            </w:r>
          </w:p>
        </w:tc>
        <w:tc>
          <w:tcPr>
            <w:tcW w:w="4961" w:type="dxa"/>
            <w:noWrap/>
            <w:tcMar>
              <w:top w:w="15" w:type="dxa"/>
              <w:left w:w="15" w:type="dxa"/>
              <w:right w:w="15" w:type="dxa"/>
            </w:tcMar>
          </w:tcPr>
          <w:p w14:paraId="004F9B15">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14:textFill>
                  <w14:solidFill>
                    <w14:schemeClr w14:val="tx1">
                      <w14:lumMod w14:val="95000"/>
                      <w14:lumOff w14:val="5000"/>
                    </w14:schemeClr>
                  </w14:solidFill>
                </w14:textFill>
              </w:rPr>
              <w:t>重庆大学</w:t>
            </w:r>
          </w:p>
        </w:tc>
      </w:tr>
      <w:tr w14:paraId="4EE9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555" w:type="dxa"/>
            <w:noWrap/>
            <w:tcMar>
              <w:top w:w="15" w:type="dxa"/>
              <w:left w:w="15" w:type="dxa"/>
              <w:right w:w="15" w:type="dxa"/>
            </w:tcMar>
          </w:tcPr>
          <w:p w14:paraId="7470F48A">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刘一阳</w:t>
            </w:r>
          </w:p>
        </w:tc>
        <w:tc>
          <w:tcPr>
            <w:tcW w:w="4961" w:type="dxa"/>
            <w:noWrap/>
            <w:tcMar>
              <w:top w:w="15" w:type="dxa"/>
              <w:left w:w="15" w:type="dxa"/>
              <w:right w:w="15" w:type="dxa"/>
            </w:tcMar>
          </w:tcPr>
          <w:p w14:paraId="2C623721">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14:textFill>
                  <w14:solidFill>
                    <w14:schemeClr w14:val="tx1">
                      <w14:lumMod w14:val="95000"/>
                      <w14:lumOff w14:val="5000"/>
                    </w14:schemeClr>
                  </w14:solidFill>
                </w14:textFill>
              </w:rPr>
              <w:t>中国农业大学</w:t>
            </w:r>
          </w:p>
        </w:tc>
      </w:tr>
      <w:tr w14:paraId="3FF0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1555" w:type="dxa"/>
            <w:noWrap/>
            <w:tcMar>
              <w:top w:w="15" w:type="dxa"/>
              <w:left w:w="15" w:type="dxa"/>
              <w:right w:w="15" w:type="dxa"/>
            </w:tcMar>
          </w:tcPr>
          <w:p w14:paraId="765E68A3">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李冰洁</w:t>
            </w:r>
          </w:p>
        </w:tc>
        <w:tc>
          <w:tcPr>
            <w:tcW w:w="4961" w:type="dxa"/>
            <w:noWrap/>
            <w:tcMar>
              <w:top w:w="15" w:type="dxa"/>
              <w:left w:w="15" w:type="dxa"/>
              <w:right w:w="15" w:type="dxa"/>
            </w:tcMar>
          </w:tcPr>
          <w:p w14:paraId="1EE12FBA">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14:textFill>
                  <w14:solidFill>
                    <w14:schemeClr w14:val="tx1">
                      <w14:lumMod w14:val="95000"/>
                      <w14:lumOff w14:val="5000"/>
                    </w14:schemeClr>
                  </w14:solidFill>
                </w14:textFill>
              </w:rPr>
              <w:t>新疆大学</w:t>
            </w:r>
          </w:p>
        </w:tc>
      </w:tr>
      <w:tr w14:paraId="030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1555" w:type="dxa"/>
            <w:noWrap/>
            <w:tcMar>
              <w:top w:w="15" w:type="dxa"/>
              <w:left w:w="15" w:type="dxa"/>
              <w:right w:w="15" w:type="dxa"/>
            </w:tcMar>
          </w:tcPr>
          <w:p w14:paraId="3E71C1BB">
            <w:pPr>
              <w:widowControl/>
              <w:spacing w:line="360" w:lineRule="auto"/>
              <w:jc w:val="center"/>
              <w:rPr>
                <w:rFonts w:hint="eastAsia" w:eastAsiaTheme="minorEastAsia"/>
                <w:color w:val="0D0D0D" w:themeColor="text1" w:themeTint="F2"/>
                <w:lang w:val="en-US" w:eastAsia="zh-CN"/>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施安琪</w:t>
            </w:r>
          </w:p>
        </w:tc>
        <w:tc>
          <w:tcPr>
            <w:tcW w:w="4961" w:type="dxa"/>
            <w:noWrap/>
            <w:tcMar>
              <w:top w:w="15" w:type="dxa"/>
              <w:left w:w="15" w:type="dxa"/>
              <w:right w:w="15" w:type="dxa"/>
            </w:tcMar>
          </w:tcPr>
          <w:p w14:paraId="65079270">
            <w:pPr>
              <w:widowControl/>
              <w:spacing w:line="360" w:lineRule="auto"/>
              <w:jc w:val="center"/>
              <w:rPr>
                <w:rFonts w:hint="default" w:ascii="Times New Roman" w:hAnsi="Times New Roman" w:cs="Times New Roman" w:eastAsiaTheme="minorEastAsia"/>
                <w:color w:val="0D0D0D" w:themeColor="text1" w:themeTint="F2"/>
                <w:lang w:val="en-US" w:eastAsia="zh-CN"/>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天津财经大学</w:t>
            </w:r>
          </w:p>
        </w:tc>
      </w:tr>
    </w:tbl>
    <w:p w14:paraId="0E07ED12">
      <w:pPr>
        <w:pStyle w:val="11"/>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上述同学请务必于</w:t>
      </w:r>
      <w:r>
        <w:rPr>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6</w:t>
      </w:r>
      <w:r>
        <w:rPr>
          <w:rFonts w:ascii="Times New Roman" w:hAnsi="Times New Roman" w:cs="Times New Roman"/>
          <w:b/>
          <w:color w:val="0D0D0D" w:themeColor="text1" w:themeTint="F2"/>
          <w14:textFill>
            <w14:solidFill>
              <w14:schemeClr w14:val="tx1">
                <w14:lumMod w14:val="95000"/>
                <w14:lumOff w14:val="5000"/>
              </w14:schemeClr>
            </w14:solidFill>
          </w14:textFill>
        </w:rPr>
        <w:t>月</w:t>
      </w:r>
      <w:r>
        <w:rPr>
          <w:rFonts w:hint="eastAsia" w:ascii="Times New Roman" w:hAnsi="Times New Roman" w:cs="Times New Roman"/>
          <w:b/>
          <w:color w:val="0D0D0D" w:themeColor="text1" w:themeTint="F2"/>
          <w:lang w:val="en-US" w:eastAsia="zh-CN"/>
          <w14:textFill>
            <w14:solidFill>
              <w14:schemeClr w14:val="tx1">
                <w14:lumMod w14:val="95000"/>
                <w14:lumOff w14:val="5000"/>
              </w14:schemeClr>
            </w14:solidFill>
          </w14:textFill>
        </w:rPr>
        <w:t>30</w:t>
      </w:r>
      <w:r>
        <w:rPr>
          <w:rFonts w:ascii="Times New Roman" w:hAnsi="Times New Roman" w:cs="Times New Roman"/>
          <w:b/>
          <w:color w:val="0D0D0D" w:themeColor="text1" w:themeTint="F2"/>
          <w14:textFill>
            <w14:solidFill>
              <w14:schemeClr w14:val="tx1">
                <w14:lumMod w14:val="95000"/>
                <w14:lumOff w14:val="5000"/>
              </w14:schemeClr>
            </w14:solidFill>
          </w14:textFill>
        </w:rPr>
        <w:t>日24</w:t>
      </w:r>
      <w:r>
        <w:rPr>
          <w:rFonts w:hint="eastAsia" w:ascii="Times New Roman" w:hAnsi="Times New Roman" w:cs="Times New Roman"/>
          <w:b/>
          <w:color w:val="0D0D0D" w:themeColor="text1" w:themeTint="F2"/>
          <w14:textFill>
            <w14:solidFill>
              <w14:schemeClr w14:val="tx1">
                <w14:lumMod w14:val="95000"/>
                <w14:lumOff w14:val="5000"/>
              </w14:schemeClr>
            </w14:solidFill>
          </w14:textFill>
        </w:rPr>
        <w:t>时</w:t>
      </w:r>
      <w:r>
        <w:rPr>
          <w:rFonts w:ascii="Times New Roman" w:hAnsi="Times New Roman" w:cs="Times New Roman"/>
          <w:b/>
          <w:color w:val="0D0D0D" w:themeColor="text1" w:themeTint="F2"/>
          <w14:textFill>
            <w14:solidFill>
              <w14:schemeClr w14:val="tx1">
                <w14:lumMod w14:val="95000"/>
                <w14:lumOff w14:val="5000"/>
              </w14:schemeClr>
            </w14:solidFill>
          </w14:textFill>
        </w:rPr>
        <w:t>前</w:t>
      </w:r>
      <w:r>
        <w:rPr>
          <w:rFonts w:ascii="Times New Roman" w:hAnsi="Times New Roman" w:cs="Times New Roman"/>
          <w:color w:val="0D0D0D" w:themeColor="text1" w:themeTint="F2"/>
          <w14:textFill>
            <w14:solidFill>
              <w14:schemeClr w14:val="tx1">
                <w14:lumMod w14:val="95000"/>
                <w14:lumOff w14:val="5000"/>
              </w14:schemeClr>
            </w14:solidFill>
          </w14:textFill>
        </w:rPr>
        <w:t>将参营回执（详见附件）返回至联系邮箱（bitmobilization@126.com），</w:t>
      </w:r>
      <w:r>
        <w:rPr>
          <w:rFonts w:ascii="Times New Roman" w:hAnsi="Times New Roman" w:cs="Times New Roman"/>
          <w:b/>
          <w:color w:val="0D0D0D" w:themeColor="text1" w:themeTint="F2"/>
          <w14:textFill>
            <w14:solidFill>
              <w14:schemeClr w14:val="tx1">
                <w14:lumMod w14:val="95000"/>
                <w14:lumOff w14:val="5000"/>
              </w14:schemeClr>
            </w14:solidFill>
          </w14:textFill>
        </w:rPr>
        <w:t>邮件主题格式为</w:t>
      </w:r>
      <w:r>
        <w:rPr>
          <w:rFonts w:hAnsi="宋体" w:cs="Times New Roman"/>
          <w:b/>
          <w:color w:val="0D0D0D" w:themeColor="text1" w:themeTint="F2"/>
          <w14:textFill>
            <w14:solidFill>
              <w14:schemeClr w14:val="tx1">
                <w14:lumMod w14:val="95000"/>
                <w14:lumOff w14:val="5000"/>
              </w14:schemeClr>
            </w14:solidFill>
          </w14:textFill>
        </w:rPr>
        <w:t>“姓名+学校+是否参营”</w:t>
      </w:r>
      <w:r>
        <w:rPr>
          <w:rFonts w:hint="eastAsia" w:ascii="Times New Roman" w:hAnsi="Times New Roman" w:cs="Times New Roman"/>
          <w:b/>
          <w:color w:val="0D0D0D" w:themeColor="text1" w:themeTint="F2"/>
          <w14:textFill>
            <w14:solidFill>
              <w14:schemeClr w14:val="tx1">
                <w14:lumMod w14:val="95000"/>
                <w14:lumOff w14:val="5000"/>
              </w14:schemeClr>
            </w14:solidFill>
          </w14:textFill>
        </w:rPr>
        <w:t>确认参营</w:t>
      </w:r>
      <w:r>
        <w:rPr>
          <w:rFonts w:ascii="Times New Roman" w:hAnsi="Times New Roman" w:cs="Times New Roman"/>
          <w:color w:val="0D0D0D" w:themeColor="text1" w:themeTint="F2"/>
          <w14:textFill>
            <w14:solidFill>
              <w14:schemeClr w14:val="tx1">
                <w14:lumMod w14:val="95000"/>
                <w14:lumOff w14:val="5000"/>
              </w14:schemeClr>
            </w14:solidFill>
          </w14:textFill>
        </w:rPr>
        <w:t>；未能在</w:t>
      </w:r>
      <w:r>
        <w:rPr>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6</w:t>
      </w:r>
      <w:r>
        <w:rPr>
          <w:rFonts w:ascii="Times New Roman" w:hAnsi="Times New Roman" w:cs="Times New Roman"/>
          <w:color w:val="0D0D0D" w:themeColor="text1" w:themeTint="F2"/>
          <w14:textFill>
            <w14:solidFill>
              <w14:schemeClr w14:val="tx1">
                <w14:lumMod w14:val="95000"/>
                <w14:lumOff w14:val="5000"/>
              </w14:schemeClr>
            </w14:solidFill>
          </w14:textFill>
        </w:rPr>
        <w:t>月</w:t>
      </w:r>
      <w:r>
        <w:rPr>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30</w:t>
      </w:r>
      <w:r>
        <w:rPr>
          <w:rFonts w:ascii="Times New Roman" w:hAnsi="Times New Roman" w:cs="Times New Roman"/>
          <w:color w:val="0D0D0D" w:themeColor="text1" w:themeTint="F2"/>
          <w14:textFill>
            <w14:solidFill>
              <w14:schemeClr w14:val="tx1">
                <w14:lumMod w14:val="95000"/>
                <w14:lumOff w14:val="5000"/>
              </w14:schemeClr>
            </w14:solidFill>
          </w14:textFill>
        </w:rPr>
        <w:t>日24时前返回参营</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回执的</w:t>
      </w:r>
      <w:r>
        <w:rPr>
          <w:rFonts w:ascii="Times New Roman" w:hAnsi="Times New Roman" w:cs="Times New Roman"/>
          <w:color w:val="0D0D0D" w:themeColor="text1" w:themeTint="F2"/>
          <w14:textFill>
            <w14:solidFill>
              <w14:schemeClr w14:val="tx1">
                <w14:lumMod w14:val="95000"/>
                <w14:lumOff w14:val="5000"/>
              </w14:schemeClr>
            </w14:solidFill>
          </w14:textFill>
        </w:rPr>
        <w:t>，视为</w:t>
      </w:r>
      <w:r>
        <w:rPr>
          <w:rFonts w:ascii="Times New Roman" w:hAnsi="Times New Roman" w:cs="Times New Roman"/>
          <w:b/>
          <w:color w:val="0D0D0D" w:themeColor="text1" w:themeTint="F2"/>
          <w14:textFill>
            <w14:solidFill>
              <w14:schemeClr w14:val="tx1">
                <w14:lumMod w14:val="95000"/>
                <w14:lumOff w14:val="5000"/>
              </w14:schemeClr>
            </w14:solidFill>
          </w14:textFill>
        </w:rPr>
        <w:t>自动放弃</w:t>
      </w:r>
      <w:r>
        <w:rPr>
          <w:rFonts w:ascii="Times New Roman" w:hAnsi="Times New Roman" w:cs="Times New Roman"/>
          <w:color w:val="0D0D0D" w:themeColor="text1" w:themeTint="F2"/>
          <w14:textFill>
            <w14:solidFill>
              <w14:schemeClr w14:val="tx1">
                <w14:lumMod w14:val="95000"/>
                <w14:lumOff w14:val="5000"/>
              </w14:schemeClr>
            </w14:solidFill>
          </w14:textFill>
        </w:rPr>
        <w:t>参营资格。</w:t>
      </w:r>
    </w:p>
    <w:p w14:paraId="611E792B">
      <w:pPr>
        <w:pStyle w:val="11"/>
        <w:spacing w:before="312" w:beforeLines="100"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14:paraId="5913F78B">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暑期夏令营详细日程安排</w:t>
      </w:r>
    </w:p>
    <w:p w14:paraId="6E0C66DC">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6</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7月14日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（星期二）</w:t>
      </w:r>
    </w:p>
    <w:p w14:paraId="6CD2FE2E">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上午 8:30-10:30 </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开营仪式</w:t>
      </w:r>
    </w:p>
    <w:p w14:paraId="756E1914">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10:30-11: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国民经济动员学学科发展历程（</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刘铁忠，学科责任教授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p>
    <w:p w14:paraId="366E0185">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11:00-12:00 学术报告：应急应战的超常供给理论与实践（张纪海教授）</w:t>
      </w:r>
    </w:p>
    <w:p w14:paraId="1BC50389">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4</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0-15:00 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要素重大变化条件下的智能化动员机制（陈妍助理研究员）</w:t>
      </w:r>
    </w:p>
    <w:p w14:paraId="5A4B57B9">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15:00-16:00 学术报告：国民经济动员链前沿理论与方法（张萌副研究员）</w:t>
      </w:r>
    </w:p>
    <w:p w14:paraId="670F9BAC">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16:</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师生交流座谈会</w:t>
      </w:r>
    </w:p>
    <w:p w14:paraId="5CD3FE02">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6</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7月15日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（星期三）</w:t>
      </w:r>
    </w:p>
    <w:p w14:paraId="4BC47B7A">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上午 </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9</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0-10:00 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经济风险向社会风险传导的内在机理与预防策略</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（刘铁忠</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教授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p>
    <w:p w14:paraId="767596FC">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10:00-1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学术分享：知识技术密集型供应链韧性测度研究（宋昊炬博士）</w:t>
      </w:r>
    </w:p>
    <w:p w14:paraId="75359C5E">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学术分享：面向提升韧性的武器装备供应链管理（郭祺昌博士）</w:t>
      </w:r>
    </w:p>
    <w:p w14:paraId="2C0A3EFE">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0-12:00 师兄师姐交流座谈会</w:t>
      </w:r>
    </w:p>
    <w:p w14:paraId="64111215">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14:00-1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4</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学术分享：资源基础和资源编排耦合的组织韧性形成机理研究（许守华博士）</w:t>
      </w:r>
    </w:p>
    <w:p w14:paraId="4FCED30D">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14:</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5</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学术分享：新时代我国军工产业高质量发展特点及现状（时千舒博士）</w:t>
      </w:r>
    </w:p>
    <w:p w14:paraId="652027F6">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5:0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 面试</w:t>
      </w:r>
    </w:p>
    <w:p w14:paraId="22CEB032">
      <w:pPr>
        <w:pStyle w:val="12"/>
        <w:autoSpaceDE w:val="0"/>
        <w:autoSpaceDN w:val="0"/>
        <w:spacing w:before="156" w:beforeLines="50" w:line="360" w:lineRule="auto"/>
        <w:ind w:left="1019" w:right="228" w:firstLine="0"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面试小组：刘铁忠、张纪海、陈妍、张萌</w:t>
      </w:r>
    </w:p>
    <w:p w14:paraId="1DA9FAC9">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6</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7月16日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（星期四）</w:t>
      </w:r>
    </w:p>
    <w:p w14:paraId="1D06B282">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上午研究生学术论坛、校史馆参观（1个小时左右）</w:t>
      </w:r>
    </w:p>
    <w:p w14:paraId="705B3BAD">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lang w:val="en-US" w:eastAsia="zh-CN"/>
          <w14:textFill>
            <w14:solidFill>
              <w14:schemeClr w14:val="tx1">
                <w14:lumMod w14:val="95000"/>
                <w14:lumOff w14:val="5000"/>
              </w14:schemeClr>
            </w14:solidFill>
          </w14:textFill>
        </w:rPr>
        <w:t>闭营仪式</w:t>
      </w:r>
    </w:p>
    <w:p w14:paraId="24FAF5A0">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具体活动日程以入营发放的日程表为准。</w:t>
      </w:r>
    </w:p>
    <w:p w14:paraId="0D546216">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14:paraId="3362512B">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14:paraId="27700483">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14:paraId="64E4A134">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br w:type="page"/>
      </w:r>
    </w:p>
    <w:p w14:paraId="33322D72">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注意事项</w:t>
      </w:r>
    </w:p>
    <w:p w14:paraId="27063C91">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本次</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夏令营学院将为所有参营学生提供</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夏令营</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期间的膳食</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和</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住宿</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（住宿时间：</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日下午至</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16</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日上午。房间有</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基本铺盖，</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请</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自备洗漱用品</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参加夏令营的</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往返旅费请自行解决。</w:t>
      </w:r>
    </w:p>
    <w:p w14:paraId="354E4B76">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确定</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参营后，请务必准时报到，</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并</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全程参加夏令营的所有活动。</w:t>
      </w:r>
    </w:p>
    <w:p w14:paraId="17B1BDF8">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为了能够更加深入地了解参营学生的基础知识、技能及研究能力，本次夏令营包含一个学术能力展示环节。每位学生的学术能力展示环节不超过</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分钟，请自行准备PPT，内容包括自我介绍以及研究成果展示。研究成果内容不限，但要求是学生独立完成、能够体现出学术能力和学术水平的研究工作。</w:t>
      </w:r>
    </w:p>
    <w:p w14:paraId="18D18D3E">
      <w:pPr>
        <w:pStyle w:val="12"/>
        <w:numPr>
          <w:ilvl w:val="0"/>
          <w:numId w:val="2"/>
        </w:numPr>
        <w:autoSpaceDE w:val="0"/>
        <w:autoSpaceDN w:val="0"/>
        <w:spacing w:before="156" w:beforeLines="50" w:line="360" w:lineRule="auto"/>
        <w:ind w:right="228" w:firstLineChars="0"/>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报到时请准备100元现金作为临时餐卡、宿舍钥匙的押金。夏令营结束后，凭押金条、临时餐卡和宿舍钥匙领取押金。</w:t>
      </w:r>
    </w:p>
    <w:p w14:paraId="3A243534">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请各位营员7月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日下午1</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15</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:00到北京理工大学中关村校区主楼报到，带好身份证件等相关材料。具体报到地点为：主楼409。</w:t>
      </w:r>
    </w:p>
    <w:p w14:paraId="1A19CFC7">
      <w:pPr>
        <w:pStyle w:val="11"/>
        <w:spacing w:before="312" w:beforeLines="100" w:line="360" w:lineRule="auto"/>
        <w:ind w:firstLine="482" w:firstLineChars="200"/>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各项未尽事宜，请咨询：</w:t>
      </w:r>
    </w:p>
    <w:p w14:paraId="6B44CE7F">
      <w:pPr>
        <w:pStyle w:val="11"/>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北京理工大学</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 xml:space="preserve">管理学院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国民经济动员教育培训中心 </w:t>
      </w:r>
    </w:p>
    <w:p w14:paraId="49B2C9BC">
      <w:pPr>
        <w:pStyle w:val="11"/>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刘铁忠老师 电话：1</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3501112579</w:t>
      </w:r>
    </w:p>
    <w:p w14:paraId="6AF204D7">
      <w:pPr>
        <w:autoSpaceDE w:val="0"/>
        <w:autoSpaceDN w:val="0"/>
        <w:spacing w:before="91" w:line="360" w:lineRule="auto"/>
        <w:ind w:left="600"/>
        <w:jc w:val="lef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p>
    <w:p w14:paraId="61B09A40">
      <w:pPr>
        <w:autoSpaceDE w:val="0"/>
        <w:autoSpaceDN w:val="0"/>
        <w:spacing w:before="91" w:line="360" w:lineRule="auto"/>
        <w:ind w:left="600"/>
        <w:jc w:val="righ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北京理工大学</w:t>
      </w:r>
      <w:r>
        <w:rPr>
          <w:rFonts w:hint="eastAsia"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管理学院</w:t>
      </w:r>
    </w:p>
    <w:p w14:paraId="4F1A63B0">
      <w:pPr>
        <w:autoSpaceDE w:val="0"/>
        <w:autoSpaceDN w:val="0"/>
        <w:spacing w:before="91" w:line="360" w:lineRule="auto"/>
        <w:ind w:left="600"/>
        <w:jc w:val="righ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202</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6年6月29</w:t>
      </w:r>
      <w:r>
        <w:rPr>
          <w:rFonts w:hint="eastAsia"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日</w:t>
      </w:r>
    </w:p>
    <w:p w14:paraId="426F39FE">
      <w:pPr>
        <w:pageBreakBefore/>
        <w:spacing w:line="360" w:lineRule="auto"/>
        <w:rPr>
          <w:rFonts w:ascii="黑体" w:hAnsi="黑体" w:eastAsia="黑体" w:cs="Times New Roman"/>
          <w:b/>
          <w:color w:val="0D0D0D" w:themeColor="text1" w:themeTint="F2"/>
          <w:sz w:val="28"/>
          <w:szCs w:val="28"/>
          <w14:textFill>
            <w14:solidFill>
              <w14:schemeClr w14:val="tx1">
                <w14:lumMod w14:val="95000"/>
                <w14:lumOff w14:val="5000"/>
              </w14:schemeClr>
            </w14:solidFill>
          </w14:textFill>
        </w:rPr>
      </w:pPr>
      <w:r>
        <w:rPr>
          <w:rFonts w:ascii="黑体" w:hAnsi="黑体" w:eastAsia="黑体" w:cs="Times New Roman"/>
          <w:color w:val="0D0D0D" w:themeColor="text1" w:themeTint="F2"/>
          <w:sz w:val="24"/>
          <w14:textFill>
            <w14:solidFill>
              <w14:schemeClr w14:val="tx1">
                <w14:lumMod w14:val="95000"/>
                <w14:lumOff w14:val="5000"/>
              </w14:schemeClr>
            </w14:solidFill>
          </w14:textFill>
        </w:rPr>
        <w:t>附件1：北京理工大学</w:t>
      </w: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202</w:t>
      </w:r>
      <w:r>
        <w:rPr>
          <w:rFonts w:ascii="黑体" w:hAnsi="黑体" w:eastAsia="黑体" w:cs="Times New Roman"/>
          <w:color w:val="0D0D0D" w:themeColor="text1" w:themeTint="F2"/>
          <w:sz w:val="24"/>
          <w14:textFill>
            <w14:solidFill>
              <w14:schemeClr w14:val="tx1">
                <w14:lumMod w14:val="95000"/>
                <w14:lumOff w14:val="5000"/>
              </w14:schemeClr>
            </w14:solidFill>
          </w14:textFill>
        </w:rPr>
        <w:t>6年国民经济动员学科夏令营参营回执</w:t>
      </w:r>
    </w:p>
    <w:p w14:paraId="4010A40F">
      <w:pPr>
        <w:pStyle w:val="11"/>
        <w:spacing w:before="312" w:beforeLines="100"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北京理工大学国民经济动员学科</w:t>
      </w:r>
      <w:r>
        <w:rPr>
          <w:rFonts w:hint="eastAsia" w:ascii="Times New Roman" w:hAnsi="Times New Roman" w:cs="Times New Roman"/>
          <w:b/>
          <w:color w:val="0D0D0D" w:themeColor="text1" w:themeTint="F2"/>
          <w:sz w:val="28"/>
          <w:szCs w:val="28"/>
          <w14:textFill>
            <w14:solidFill>
              <w14:schemeClr w14:val="tx1">
                <w14:lumMod w14:val="95000"/>
                <w14:lumOff w14:val="5000"/>
              </w14:schemeClr>
            </w14:solidFill>
          </w14:textFill>
        </w:rPr>
        <w:t>202</w:t>
      </w: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6年优秀大学生</w:t>
      </w:r>
    </w:p>
    <w:p w14:paraId="5972A4AC">
      <w:pPr>
        <w:pStyle w:val="11"/>
        <w:spacing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暑期夏令营参营回执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027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1E24306E">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姓名</w:t>
            </w:r>
          </w:p>
        </w:tc>
        <w:tc>
          <w:tcPr>
            <w:tcW w:w="2074" w:type="dxa"/>
          </w:tcPr>
          <w:p w14:paraId="6D62AC8C">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14:paraId="7D8266B9">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学校</w:t>
            </w:r>
          </w:p>
        </w:tc>
        <w:tc>
          <w:tcPr>
            <w:tcW w:w="2074" w:type="dxa"/>
          </w:tcPr>
          <w:p w14:paraId="0EABCEC1">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14:paraId="3E4C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83B0C79">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身份证号码</w:t>
            </w:r>
          </w:p>
        </w:tc>
        <w:tc>
          <w:tcPr>
            <w:tcW w:w="6222" w:type="dxa"/>
            <w:gridSpan w:val="3"/>
          </w:tcPr>
          <w:p w14:paraId="4C5A466A">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14:paraId="2A29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8F9216A">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紧急联系人</w:t>
            </w:r>
          </w:p>
        </w:tc>
        <w:tc>
          <w:tcPr>
            <w:tcW w:w="2074" w:type="dxa"/>
          </w:tcPr>
          <w:p w14:paraId="5883A38B">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14:paraId="4D25E2A3">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联系电话</w:t>
            </w:r>
          </w:p>
        </w:tc>
        <w:tc>
          <w:tcPr>
            <w:tcW w:w="2074" w:type="dxa"/>
          </w:tcPr>
          <w:p w14:paraId="41746A92">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14:paraId="52AB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0A3C9EFC">
            <w:pPr>
              <w:pStyle w:val="11"/>
              <w:spacing w:line="360" w:lineRule="auto"/>
              <w:ind w:firstLine="480" w:firstLineChars="200"/>
              <w:jc w:val="both"/>
              <w:rPr>
                <w:rFonts w:ascii="Times New Roman" w:hAnsi="Times New Roman" w:eastAsia="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本人确定全程参加北京理工大学国民经济动员学科</w:t>
            </w:r>
            <w:r>
              <w:rPr>
                <w:rFonts w:hint="eastAsia"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202</w:t>
            </w: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6年优秀大学生暑期夏令营活动，因本人原因导致不能参加活动而带来的一切后果，本人自负。</w:t>
            </w:r>
          </w:p>
        </w:tc>
      </w:tr>
    </w:tbl>
    <w:p w14:paraId="25EF04FE">
      <w:pPr>
        <w:pStyle w:val="11"/>
        <w:spacing w:line="360" w:lineRule="auto"/>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14:paraId="5D9F4815">
      <w:pPr>
        <w:pStyle w:val="11"/>
        <w:spacing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说明：</w:t>
      </w:r>
    </w:p>
    <w:p w14:paraId="429D363B">
      <w:pPr>
        <w:pStyle w:val="11"/>
        <w:numPr>
          <w:ilvl w:val="0"/>
          <w:numId w:val="3"/>
        </w:numPr>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为保证此次夏令营活动顺利进行，请各位学员安排好自己的学习日程。因其他原因无法参加此次活动的同学，务必回复邮件告知。</w:t>
      </w:r>
      <w:r>
        <w:rPr>
          <w:rFonts w:ascii="Times New Roman" w:hAnsi="Times New Roman" w:cs="Times New Roman"/>
          <w:b/>
          <w:color w:val="0D0D0D" w:themeColor="text1" w:themeTint="F2"/>
          <w14:textFill>
            <w14:solidFill>
              <w14:schemeClr w14:val="tx1">
                <w14:lumMod w14:val="95000"/>
                <w14:lumOff w14:val="5000"/>
              </w14:schemeClr>
            </w14:solidFill>
          </w14:textFill>
        </w:rPr>
        <w:t>确定参营但不按要求参加活动的同学，将被视为个人诚信问题，请务必慎重。</w:t>
      </w:r>
    </w:p>
    <w:p w14:paraId="24363ECA">
      <w:pPr>
        <w:pStyle w:val="11"/>
        <w:numPr>
          <w:ilvl w:val="0"/>
          <w:numId w:val="3"/>
        </w:numPr>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rPr>
        <w:t>请务必于</w:t>
      </w:r>
      <w:r>
        <w:rPr>
          <w:rFonts w:hint="eastAsia" w:ascii="Times New Roman" w:hAnsi="Times New Roman" w:cs="Times New Roman"/>
          <w:lang w:val="en-US" w:eastAsia="zh-CN"/>
        </w:rPr>
        <w:t>6</w:t>
      </w:r>
      <w:r>
        <w:rPr>
          <w:rFonts w:ascii="Times New Roman" w:hAnsi="Times New Roman" w:cs="Times New Roman"/>
          <w:b/>
        </w:rPr>
        <w:t>月</w:t>
      </w:r>
      <w:r>
        <w:rPr>
          <w:rFonts w:hint="eastAsia" w:ascii="Times New Roman" w:hAnsi="Times New Roman" w:cs="Times New Roman"/>
          <w:b/>
          <w:lang w:val="en-US" w:eastAsia="zh-CN"/>
        </w:rPr>
        <w:t>30</w:t>
      </w:r>
      <w:r>
        <w:rPr>
          <w:rFonts w:ascii="Times New Roman" w:hAnsi="Times New Roman" w:cs="Times New Roman"/>
          <w:b/>
        </w:rPr>
        <w:t>日24</w:t>
      </w:r>
      <w:r>
        <w:rPr>
          <w:rFonts w:hint="eastAsia" w:ascii="Times New Roman" w:hAnsi="Times New Roman" w:cs="Times New Roman"/>
          <w:b/>
        </w:rPr>
        <w:t>时</w:t>
      </w:r>
      <w:r>
        <w:rPr>
          <w:rFonts w:ascii="Times New Roman" w:hAnsi="Times New Roman" w:cs="Times New Roman"/>
          <w:b/>
        </w:rPr>
        <w:t>前</w:t>
      </w:r>
      <w:r>
        <w:rPr>
          <w:rFonts w:ascii="Times New Roman" w:hAnsi="Times New Roman" w:cs="Times New Roman"/>
        </w:rPr>
        <w:t>将参营回执（详见附件）返回至联系邮箱（bitmobilization@126.com），</w:t>
      </w:r>
      <w:r>
        <w:rPr>
          <w:rFonts w:ascii="Times New Roman" w:hAnsi="Times New Roman" w:cs="Times New Roman"/>
          <w:b/>
        </w:rPr>
        <w:t>邮件主题格式为</w:t>
      </w:r>
      <w:r>
        <w:rPr>
          <w:rFonts w:cs="Times New Roman" w:asciiTheme="minorEastAsia" w:hAnsiTheme="minorEastAsia" w:eastAsiaTheme="minorEastAsia"/>
          <w:b/>
        </w:rPr>
        <w:t>“姓名+学校+是否参营”</w:t>
      </w:r>
      <w:r>
        <w:rPr>
          <w:rFonts w:ascii="Times New Roman" w:hAnsi="Times New Roman" w:cs="Times New Roman"/>
        </w:rPr>
        <w:t>；未能在</w:t>
      </w:r>
      <w:r>
        <w:rPr>
          <w:rFonts w:hint="eastAsia" w:ascii="Times New Roman" w:hAnsi="Times New Roman" w:cs="Times New Roman"/>
          <w:lang w:val="en-US" w:eastAsia="zh-CN"/>
        </w:rPr>
        <w:t>6</w:t>
      </w:r>
      <w:r>
        <w:rPr>
          <w:rFonts w:ascii="Times New Roman" w:hAnsi="Times New Roman" w:cs="Times New Roman"/>
        </w:rPr>
        <w:t>月</w:t>
      </w:r>
      <w:r>
        <w:rPr>
          <w:rFonts w:hint="eastAsia" w:ascii="Times New Roman" w:hAnsi="Times New Roman" w:cs="Times New Roman"/>
          <w:lang w:val="en-US" w:eastAsia="zh-CN"/>
        </w:rPr>
        <w:t>30</w:t>
      </w:r>
      <w:r>
        <w:rPr>
          <w:rFonts w:ascii="Times New Roman" w:hAnsi="Times New Roman" w:cs="Times New Roman"/>
        </w:rPr>
        <w:t>日24时前返回参营</w:t>
      </w:r>
      <w:r>
        <w:rPr>
          <w:rFonts w:hint="eastAsia" w:ascii="Times New Roman" w:hAnsi="Times New Roman" w:cs="Times New Roman"/>
        </w:rPr>
        <w:t>回</w:t>
      </w:r>
      <w:r>
        <w:rPr>
          <w:rFonts w:ascii="Times New Roman" w:hAnsi="Times New Roman" w:cs="Times New Roman"/>
        </w:rPr>
        <w:t>执的，视为</w:t>
      </w:r>
      <w:r>
        <w:rPr>
          <w:rFonts w:ascii="Times New Roman" w:hAnsi="Times New Roman" w:cs="Times New Roman"/>
          <w:b/>
        </w:rPr>
        <w:t>自动放弃</w:t>
      </w:r>
      <w:r>
        <w:rPr>
          <w:rFonts w:ascii="Times New Roman" w:hAnsi="Times New Roman" w:cs="Times New Roman"/>
        </w:rPr>
        <w:t>参营资格。</w:t>
      </w:r>
    </w:p>
    <w:p w14:paraId="50139E8D">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14:paraId="1BB678E4">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14:paraId="42488B5C">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14:paraId="74171BAA">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14:paraId="358D4165">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14:paraId="6C686CCE">
      <w:pPr>
        <w:pageBreakBefore/>
        <w:spacing w:line="360" w:lineRule="auto"/>
        <w:rPr>
          <w:rFonts w:ascii="黑体" w:hAnsi="黑体" w:eastAsia="黑体" w:cs="Times New Roman"/>
          <w:color w:val="0D0D0D" w:themeColor="text1" w:themeTint="F2"/>
          <w:sz w:val="24"/>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附件</w:t>
      </w:r>
      <w:r>
        <w:rPr>
          <w:rFonts w:ascii="黑体" w:hAnsi="黑体" w:eastAsia="黑体" w:cs="Times New Roman"/>
          <w:color w:val="0D0D0D" w:themeColor="text1" w:themeTint="F2"/>
          <w:sz w:val="24"/>
          <w14:textFill>
            <w14:solidFill>
              <w14:schemeClr w14:val="tx1">
                <w14:lumMod w14:val="95000"/>
                <w14:lumOff w14:val="5000"/>
              </w14:schemeClr>
            </w14:solidFill>
          </w14:textFill>
        </w:rPr>
        <w:t>2</w:t>
      </w: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：学校</w:t>
      </w:r>
      <w:r>
        <w:rPr>
          <w:rFonts w:ascii="黑体" w:hAnsi="黑体" w:eastAsia="黑体" w:cs="Times New Roman"/>
          <w:color w:val="0D0D0D" w:themeColor="text1" w:themeTint="F2"/>
          <w:sz w:val="24"/>
          <w14:textFill>
            <w14:solidFill>
              <w14:schemeClr w14:val="tx1">
                <w14:lumMod w14:val="95000"/>
                <w14:lumOff w14:val="5000"/>
              </w14:schemeClr>
            </w14:solidFill>
          </w14:textFill>
        </w:rPr>
        <w:t>位置及乘车路线</w:t>
      </w:r>
    </w:p>
    <w:p w14:paraId="7D2307B4">
      <w:pPr>
        <w:spacing w:line="400" w:lineRule="exact"/>
        <w:ind w:firstLine="480" w:firstLineChars="20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14:paraId="43EB81BF">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14:paraId="3CDD51E1">
      <w:pPr>
        <w:jc w:val="center"/>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14:paraId="119B083F">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14:paraId="039814C2">
      <w:pPr>
        <w:spacing w:line="400" w:lineRule="exact"/>
        <w:rPr>
          <w:rFonts w:ascii="Times New Roman" w:hAnsi="Times New Roman" w:eastAsia="宋体"/>
          <w:b/>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b/>
          <w:color w:val="0D0D0D" w:themeColor="text1" w:themeTint="F2"/>
          <w:sz w:val="24"/>
          <w14:textFill>
            <w14:solidFill>
              <w14:schemeClr w14:val="tx1">
                <w14:lumMod w14:val="95000"/>
                <w14:lumOff w14:val="5000"/>
              </w14:schemeClr>
            </w14:solidFill>
          </w14:textFill>
        </w:rPr>
        <w:t>乘车路线（地铁）：</w:t>
      </w:r>
    </w:p>
    <w:p w14:paraId="7C610EF8">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北京站</w:t>
      </w:r>
    </w:p>
    <w:p w14:paraId="32883EA6">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从北京站乘坐地铁2号线，经前门、复兴门等车站至西直门站换乘地铁4号线往安河桥北方向，至魏公村站下车。</w:t>
      </w:r>
    </w:p>
    <w:p w14:paraId="2FD83834">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北京西站</w:t>
      </w:r>
    </w:p>
    <w:p w14:paraId="14F0EAD3">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从北京西站乘坐地铁9号线往国家图书馆方向至终点站国家图书馆，到对面站台换乘地铁4号线往安河桥北方向，至魏公村站下车。</w:t>
      </w:r>
    </w:p>
    <w:p w14:paraId="796D6283">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北京南站</w:t>
      </w:r>
    </w:p>
    <w:p w14:paraId="74692ED4">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从北京南站乘坐地铁4号线往安河桥北方向，至魏公村站下车。</w:t>
      </w:r>
    </w:p>
    <w:p w14:paraId="023662F2">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北京丰台站</w:t>
      </w:r>
    </w:p>
    <w:p w14:paraId="7B7E8EFD">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从北京丰台站乘坐地铁1</w:t>
      </w:r>
      <w:r>
        <w:rPr>
          <w:rFonts w:ascii="Times New Roman" w:hAnsi="Times New Roman" w:eastAsia="宋体"/>
          <w:color w:val="0D0D0D" w:themeColor="text1" w:themeTint="F2"/>
          <w:sz w:val="24"/>
          <w14:textFill>
            <w14:solidFill>
              <w14:schemeClr w14:val="tx1">
                <w14:lumMod w14:val="95000"/>
                <w14:lumOff w14:val="5000"/>
              </w14:schemeClr>
            </w14:solidFill>
          </w14:textFill>
        </w:rPr>
        <w:t>6</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号线往北安河方向至国家图书馆站，换乘地铁4号线往安河桥北方向，至魏公村站下车。</w:t>
      </w:r>
    </w:p>
    <w:p w14:paraId="41407F24">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ascii="Times New Roman" w:hAnsi="Times New Roman" w:eastAsia="宋体"/>
          <w:color w:val="0D0D0D" w:themeColor="text1" w:themeTint="F2"/>
          <w:sz w:val="24"/>
          <w14:textFill>
            <w14:solidFill>
              <w14:schemeClr w14:val="tx1">
                <w14:lumMod w14:val="95000"/>
                <w14:lumOff w14:val="5000"/>
              </w14:schemeClr>
            </w14:solidFill>
          </w14:textFill>
        </w:rPr>
        <w:t>5</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、首都机场</w:t>
      </w:r>
    </w:p>
    <w:p w14:paraId="625A62F7">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从首都机场乘坐机场快线至三元桥站换乘地铁10号线外环方向，至海淀黄庄站换乘地铁4号线往天宫院站方向，至魏公村站下车。</w:t>
      </w:r>
    </w:p>
    <w:p w14:paraId="4093843C">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ascii="Times New Roman" w:hAnsi="Times New Roman" w:eastAsia="宋体"/>
          <w:color w:val="0D0D0D" w:themeColor="text1" w:themeTint="F2"/>
          <w:sz w:val="24"/>
          <w14:textFill>
            <w14:solidFill>
              <w14:schemeClr w14:val="tx1">
                <w14:lumMod w14:val="95000"/>
                <w14:lumOff w14:val="5000"/>
              </w14:schemeClr>
            </w14:solidFill>
          </w14:textFill>
        </w:rPr>
        <w:t>6</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、大兴机场</w:t>
      </w:r>
    </w:p>
    <w:p w14:paraId="7644B7DA">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从大兴机场乘坐大兴机场线至草桥站，换乘地铁1</w:t>
      </w:r>
      <w:r>
        <w:rPr>
          <w:rFonts w:ascii="Times New Roman" w:hAnsi="Times New Roman" w:eastAsia="宋体"/>
          <w:color w:val="0D0D0D" w:themeColor="text1" w:themeTint="F2"/>
          <w:sz w:val="24"/>
          <w14:textFill>
            <w14:solidFill>
              <w14:schemeClr w14:val="tx1">
                <w14:lumMod w14:val="95000"/>
                <w14:lumOff w14:val="5000"/>
              </w14:schemeClr>
            </w14:solidFill>
          </w14:textFill>
        </w:rPr>
        <w:t>9</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号线往牡丹园方向至积水潭站，换乘地铁2号线外环至西直门站，再换乘地铁4号线往安河桥北方向，至魏公村站下车。</w:t>
      </w:r>
    </w:p>
    <w:p w14:paraId="454E2007">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14:paraId="612F93DE">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乘坐地铁至魏公村站后，从</w:t>
      </w:r>
      <w:r>
        <w:rPr>
          <w:rFonts w:ascii="Times New Roman" w:hAnsi="Times New Roman" w:eastAsia="宋体"/>
          <w:color w:val="0D0D0D" w:themeColor="text1" w:themeTint="F2"/>
          <w:sz w:val="24"/>
          <w14:textFill>
            <w14:solidFill>
              <w14:schemeClr w14:val="tx1">
                <w14:lumMod w14:val="95000"/>
                <w14:lumOff w14:val="5000"/>
              </w14:schemeClr>
            </w14:solidFill>
          </w14:textFill>
        </w:rPr>
        <w:t>D</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出口出站，沿魏公村路向西</w:t>
      </w:r>
      <w:r>
        <w:rPr>
          <w:rFonts w:ascii="Times New Roman" w:hAnsi="Times New Roman" w:eastAsia="宋体"/>
          <w:color w:val="0D0D0D" w:themeColor="text1" w:themeTint="F2"/>
          <w:sz w:val="24"/>
          <w14:textFill>
            <w14:solidFill>
              <w14:schemeClr w14:val="tx1">
                <w14:lumMod w14:val="95000"/>
                <w14:lumOff w14:val="5000"/>
              </w14:schemeClr>
            </w14:solidFill>
          </w14:textFill>
        </w:rPr>
        <w:t>2</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00米即北京理工大学</w:t>
      </w:r>
      <w:r>
        <w:rPr>
          <w:rFonts w:hint="eastAsia" w:ascii="Times New Roman" w:hAnsi="Times New Roman" w:eastAsia="宋体"/>
          <w:b/>
          <w:bCs/>
          <w:color w:val="0D0D0D" w:themeColor="text1" w:themeTint="F2"/>
          <w:sz w:val="24"/>
          <w14:textFill>
            <w14:solidFill>
              <w14:schemeClr w14:val="tx1">
                <w14:lumMod w14:val="95000"/>
                <w14:lumOff w14:val="5000"/>
              </w14:schemeClr>
            </w14:solidFill>
          </w14:textFill>
        </w:rPr>
        <w:t>东南门</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。管理学院坐落于北京理工大学主楼（正对东门）。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72531"/>
    <w:multiLevelType w:val="multilevel"/>
    <w:tmpl w:val="00572531"/>
    <w:lvl w:ilvl="0" w:tentative="0">
      <w:start w:val="1"/>
      <w:numFmt w:val="bullet"/>
      <w:lvlText w:val=""/>
      <w:lvlJc w:val="left"/>
      <w:pPr>
        <w:ind w:left="1019" w:hanging="420"/>
      </w:pPr>
      <w:rPr>
        <w:rFonts w:hint="default" w:ascii="Wingdings" w:hAnsi="Wingdings"/>
      </w:rPr>
    </w:lvl>
    <w:lvl w:ilvl="1" w:tentative="0">
      <w:start w:val="1"/>
      <w:numFmt w:val="bullet"/>
      <w:lvlText w:val=""/>
      <w:lvlJc w:val="left"/>
      <w:pPr>
        <w:ind w:left="1439" w:hanging="420"/>
      </w:pPr>
      <w:rPr>
        <w:rFonts w:hint="default" w:ascii="Wingdings" w:hAnsi="Wingdings"/>
      </w:rPr>
    </w:lvl>
    <w:lvl w:ilvl="2" w:tentative="0">
      <w:start w:val="1"/>
      <w:numFmt w:val="bullet"/>
      <w:lvlText w:val=""/>
      <w:lvlJc w:val="left"/>
      <w:pPr>
        <w:ind w:left="1859" w:hanging="420"/>
      </w:pPr>
      <w:rPr>
        <w:rFonts w:hint="default" w:ascii="Wingdings" w:hAnsi="Wingdings"/>
      </w:rPr>
    </w:lvl>
    <w:lvl w:ilvl="3" w:tentative="0">
      <w:start w:val="1"/>
      <w:numFmt w:val="bullet"/>
      <w:lvlText w:val=""/>
      <w:lvlJc w:val="left"/>
      <w:pPr>
        <w:ind w:left="2279" w:hanging="420"/>
      </w:pPr>
      <w:rPr>
        <w:rFonts w:hint="default" w:ascii="Wingdings" w:hAnsi="Wingdings"/>
      </w:rPr>
    </w:lvl>
    <w:lvl w:ilvl="4" w:tentative="0">
      <w:start w:val="1"/>
      <w:numFmt w:val="bullet"/>
      <w:lvlText w:val=""/>
      <w:lvlJc w:val="left"/>
      <w:pPr>
        <w:ind w:left="2699" w:hanging="420"/>
      </w:pPr>
      <w:rPr>
        <w:rFonts w:hint="default" w:ascii="Wingdings" w:hAnsi="Wingdings"/>
      </w:rPr>
    </w:lvl>
    <w:lvl w:ilvl="5" w:tentative="0">
      <w:start w:val="1"/>
      <w:numFmt w:val="bullet"/>
      <w:lvlText w:val=""/>
      <w:lvlJc w:val="left"/>
      <w:pPr>
        <w:ind w:left="3119" w:hanging="420"/>
      </w:pPr>
      <w:rPr>
        <w:rFonts w:hint="default" w:ascii="Wingdings" w:hAnsi="Wingdings"/>
      </w:rPr>
    </w:lvl>
    <w:lvl w:ilvl="6" w:tentative="0">
      <w:start w:val="1"/>
      <w:numFmt w:val="bullet"/>
      <w:lvlText w:val=""/>
      <w:lvlJc w:val="left"/>
      <w:pPr>
        <w:ind w:left="3539" w:hanging="420"/>
      </w:pPr>
      <w:rPr>
        <w:rFonts w:hint="default" w:ascii="Wingdings" w:hAnsi="Wingdings"/>
      </w:rPr>
    </w:lvl>
    <w:lvl w:ilvl="7" w:tentative="0">
      <w:start w:val="1"/>
      <w:numFmt w:val="bullet"/>
      <w:lvlText w:val=""/>
      <w:lvlJc w:val="left"/>
      <w:pPr>
        <w:ind w:left="3959" w:hanging="420"/>
      </w:pPr>
      <w:rPr>
        <w:rFonts w:hint="default" w:ascii="Wingdings" w:hAnsi="Wingdings"/>
      </w:rPr>
    </w:lvl>
    <w:lvl w:ilvl="8" w:tentative="0">
      <w:start w:val="1"/>
      <w:numFmt w:val="bullet"/>
      <w:lvlText w:val=""/>
      <w:lvlJc w:val="left"/>
      <w:pPr>
        <w:ind w:left="4379" w:hanging="420"/>
      </w:pPr>
      <w:rPr>
        <w:rFonts w:hint="default" w:ascii="Wingdings" w:hAnsi="Wingdings"/>
      </w:rPr>
    </w:lvl>
  </w:abstractNum>
  <w:abstractNum w:abstractNumId="1">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BB35D8"/>
    <w:multiLevelType w:val="multilevel"/>
    <w:tmpl w:val="37BB35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4417FE"/>
    <w:multiLevelType w:val="multilevel"/>
    <w:tmpl w:val="414417FE"/>
    <w:lvl w:ilvl="0" w:tentative="0">
      <w:start w:val="1"/>
      <w:numFmt w:val="bullet"/>
      <w:lvlText w:val=""/>
      <w:lvlJc w:val="left"/>
      <w:pPr>
        <w:ind w:left="1019" w:hanging="420"/>
      </w:pPr>
      <w:rPr>
        <w:rFonts w:hint="default" w:ascii="Wingdings" w:hAnsi="Wingdings"/>
      </w:rPr>
    </w:lvl>
    <w:lvl w:ilvl="1" w:tentative="0">
      <w:start w:val="1"/>
      <w:numFmt w:val="bullet"/>
      <w:lvlText w:val=""/>
      <w:lvlJc w:val="left"/>
      <w:pPr>
        <w:ind w:left="1439" w:hanging="420"/>
      </w:pPr>
      <w:rPr>
        <w:rFonts w:hint="default" w:ascii="Wingdings" w:hAnsi="Wingdings"/>
      </w:rPr>
    </w:lvl>
    <w:lvl w:ilvl="2" w:tentative="0">
      <w:start w:val="1"/>
      <w:numFmt w:val="bullet"/>
      <w:lvlText w:val=""/>
      <w:lvlJc w:val="left"/>
      <w:pPr>
        <w:ind w:left="1859" w:hanging="420"/>
      </w:pPr>
      <w:rPr>
        <w:rFonts w:hint="default" w:ascii="Wingdings" w:hAnsi="Wingdings"/>
      </w:rPr>
    </w:lvl>
    <w:lvl w:ilvl="3" w:tentative="0">
      <w:start w:val="1"/>
      <w:numFmt w:val="bullet"/>
      <w:lvlText w:val=""/>
      <w:lvlJc w:val="left"/>
      <w:pPr>
        <w:ind w:left="2279" w:hanging="420"/>
      </w:pPr>
      <w:rPr>
        <w:rFonts w:hint="default" w:ascii="Wingdings" w:hAnsi="Wingdings"/>
      </w:rPr>
    </w:lvl>
    <w:lvl w:ilvl="4" w:tentative="0">
      <w:start w:val="1"/>
      <w:numFmt w:val="bullet"/>
      <w:lvlText w:val=""/>
      <w:lvlJc w:val="left"/>
      <w:pPr>
        <w:ind w:left="2699" w:hanging="420"/>
      </w:pPr>
      <w:rPr>
        <w:rFonts w:hint="default" w:ascii="Wingdings" w:hAnsi="Wingdings"/>
      </w:rPr>
    </w:lvl>
    <w:lvl w:ilvl="5" w:tentative="0">
      <w:start w:val="1"/>
      <w:numFmt w:val="bullet"/>
      <w:lvlText w:val=""/>
      <w:lvlJc w:val="left"/>
      <w:pPr>
        <w:ind w:left="3119" w:hanging="420"/>
      </w:pPr>
      <w:rPr>
        <w:rFonts w:hint="default" w:ascii="Wingdings" w:hAnsi="Wingdings"/>
      </w:rPr>
    </w:lvl>
    <w:lvl w:ilvl="6" w:tentative="0">
      <w:start w:val="1"/>
      <w:numFmt w:val="bullet"/>
      <w:lvlText w:val=""/>
      <w:lvlJc w:val="left"/>
      <w:pPr>
        <w:ind w:left="3539" w:hanging="420"/>
      </w:pPr>
      <w:rPr>
        <w:rFonts w:hint="default" w:ascii="Wingdings" w:hAnsi="Wingdings"/>
      </w:rPr>
    </w:lvl>
    <w:lvl w:ilvl="7" w:tentative="0">
      <w:start w:val="1"/>
      <w:numFmt w:val="bullet"/>
      <w:lvlText w:val=""/>
      <w:lvlJc w:val="left"/>
      <w:pPr>
        <w:ind w:left="3959" w:hanging="420"/>
      </w:pPr>
      <w:rPr>
        <w:rFonts w:hint="default" w:ascii="Wingdings" w:hAnsi="Wingdings"/>
      </w:rPr>
    </w:lvl>
    <w:lvl w:ilvl="8" w:tentative="0">
      <w:start w:val="1"/>
      <w:numFmt w:val="bullet"/>
      <w:lvlText w:val=""/>
      <w:lvlJc w:val="left"/>
      <w:pPr>
        <w:ind w:left="4379"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ZiYWJhNjIzYmZjNmVhMWQxNzk1NzIwNTI4ODAifQ=="/>
  </w:docVars>
  <w:rsids>
    <w:rsidRoot w:val="00D34999"/>
    <w:rsid w:val="0002568E"/>
    <w:rsid w:val="00032D97"/>
    <w:rsid w:val="000D577B"/>
    <w:rsid w:val="00112D76"/>
    <w:rsid w:val="0016683B"/>
    <w:rsid w:val="001A0A9F"/>
    <w:rsid w:val="001B0046"/>
    <w:rsid w:val="001B010B"/>
    <w:rsid w:val="00207911"/>
    <w:rsid w:val="00245056"/>
    <w:rsid w:val="0028641D"/>
    <w:rsid w:val="00346273"/>
    <w:rsid w:val="00420748"/>
    <w:rsid w:val="00467610"/>
    <w:rsid w:val="00473BD0"/>
    <w:rsid w:val="00494F42"/>
    <w:rsid w:val="004C450E"/>
    <w:rsid w:val="005306AE"/>
    <w:rsid w:val="00591F22"/>
    <w:rsid w:val="005D4603"/>
    <w:rsid w:val="005D6115"/>
    <w:rsid w:val="00680B4E"/>
    <w:rsid w:val="006D3CEC"/>
    <w:rsid w:val="007718D2"/>
    <w:rsid w:val="008E6A5B"/>
    <w:rsid w:val="00946731"/>
    <w:rsid w:val="009602A1"/>
    <w:rsid w:val="00A56754"/>
    <w:rsid w:val="00A640A0"/>
    <w:rsid w:val="00A66335"/>
    <w:rsid w:val="00AB14DE"/>
    <w:rsid w:val="00C31214"/>
    <w:rsid w:val="00C55978"/>
    <w:rsid w:val="00C638AE"/>
    <w:rsid w:val="00D34999"/>
    <w:rsid w:val="00D5078F"/>
    <w:rsid w:val="00DD1DE8"/>
    <w:rsid w:val="00F35EB9"/>
    <w:rsid w:val="00F63F12"/>
    <w:rsid w:val="00F966CA"/>
    <w:rsid w:val="00FB13F8"/>
    <w:rsid w:val="00FE5690"/>
    <w:rsid w:val="00FF1500"/>
    <w:rsid w:val="051B4B89"/>
    <w:rsid w:val="05832D5D"/>
    <w:rsid w:val="0BDB0738"/>
    <w:rsid w:val="122A315C"/>
    <w:rsid w:val="173A7F97"/>
    <w:rsid w:val="26A125E5"/>
    <w:rsid w:val="2A8F1DC4"/>
    <w:rsid w:val="2C2B55FA"/>
    <w:rsid w:val="2C4B6EA3"/>
    <w:rsid w:val="36A529CE"/>
    <w:rsid w:val="38A84F8C"/>
    <w:rsid w:val="40B02476"/>
    <w:rsid w:val="40C663EE"/>
    <w:rsid w:val="42155A0D"/>
    <w:rsid w:val="4EA16CDE"/>
    <w:rsid w:val="740C6EC3"/>
    <w:rsid w:val="747D56CB"/>
    <w:rsid w:val="76502EB0"/>
    <w:rsid w:val="79F857F4"/>
    <w:rsid w:val="7C06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8296"/>
      </w:tabs>
      <w:spacing w:before="50" w:beforeLines="50" w:after="50" w:afterLines="50"/>
      <w:jc w:val="center"/>
    </w:pPr>
    <w:rPr>
      <w:rFonts w:ascii="Times New Roman" w:hAnsi="Times New Roman" w:eastAsia="宋体"/>
      <w:sz w:val="28"/>
      <w:szCs w:val="28"/>
    </w:rPr>
  </w:style>
  <w:style w:type="paragraph" w:styleId="6">
    <w:name w:val="Normal (Web)"/>
    <w:basedOn w:val="1"/>
    <w:unhideWhenUsed/>
    <w:qFormat/>
    <w:uiPriority w:val="99"/>
    <w:pPr>
      <w:spacing w:line="360" w:lineRule="auto"/>
    </w:pPr>
    <w:rPr>
      <w:rFonts w:ascii="Times New Roman" w:hAnsi="Times New Roman" w:eastAsia="宋体" w:cs="Calibri"/>
      <w:sz w:val="24"/>
      <w:szCs w:val="24"/>
    </w:rPr>
  </w:style>
  <w:style w:type="table" w:styleId="8">
    <w:name w:val="Table Grid"/>
    <w:basedOn w:val="7"/>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customStyle="1" w:styleId="11">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页眉 字符"/>
    <w:basedOn w:val="9"/>
    <w:link w:val="4"/>
    <w:qFormat/>
    <w:uiPriority w:val="99"/>
    <w:rPr>
      <w:rFonts w:asciiTheme="minorHAnsi" w:hAnsiTheme="minorHAnsi" w:eastAsiaTheme="minorEastAsia" w:cstheme="minorBidi"/>
      <w:kern w:val="2"/>
      <w:sz w:val="18"/>
      <w:szCs w:val="18"/>
    </w:rPr>
  </w:style>
  <w:style w:type="character" w:customStyle="1" w:styleId="14">
    <w:name w:val="页脚 字符"/>
    <w:basedOn w:val="9"/>
    <w:link w:val="3"/>
    <w:qFormat/>
    <w:uiPriority w:val="99"/>
    <w:rPr>
      <w:rFonts w:asciiTheme="minorHAnsi" w:hAnsiTheme="minorHAnsi" w:eastAsiaTheme="minorEastAsia" w:cstheme="minorBidi"/>
      <w:kern w:val="2"/>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2164</Words>
  <Characters>2415</Characters>
  <Lines>18</Lines>
  <Paragraphs>5</Paragraphs>
  <TotalTime>621</TotalTime>
  <ScaleCrop>false</ScaleCrop>
  <LinksUpToDate>false</LinksUpToDate>
  <CharactersWithSpaces>2448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2024-06-26T06:51:00Z</dcterms:created>
  <dc:creator>zhangjihai</dc:creator>
  <cp:lastModifiedBy>安心</cp:lastModifiedBy>
  <dcterms:modified xsi:type="dcterms:W3CDTF">2026-06-29T10:06:17Z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FD83C8F33E804DAA99939C3DE607E2BA_13</vt:lpwstr>
  </property>
  <property fmtid="{D5CDD505-2E9C-101B-9397-08002B2CF9AE}" pid="4" name="KSOTemplateDocerSaveRecord">
    <vt:lpwstr>eyJoZGlkIjoiMmM5NDk1ZGZhZDJjMDlhYzA3MTg0ZmM0ODI0OWIxY2IiLCJ1c2VySWQiOiI4NTg4NDQ2NzQifQ==</vt:lpwstr>
  </property>
</Properties>
</file>